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t>Ausschreibungstext</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Lüftungsgitter als Zuluft- oder Abluftdurchlass für die Be- und Entlüftung von Räumen in raumlufttechnischen Anlagen. Bestehend aus einem Frontrahmen mit Facette (Innenfase). Vorzugsweise für den Einbau in runde oder eckige Luftleitungen sowie zur Wandmontage. Einbaufertige Komponente, bestehend aus Frontrahmen, einzeln verstellbaren, senkrechten und/oder waagerechten Lamellen.</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Strömungstechnische und akustische Auslegung individuell mit Web-Konfigurator.</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t>Materialien</w:t>
      </w:r>
    </w:p>
    <w:p w:rsidR="008927D9" w:rsidRPr="008927D9" w:rsidRDefault="008927D9" w:rsidP="008927D9">
      <w:pPr>
        <w:numPr>
          <w:ilvl w:val="0"/>
          <w:numId w:val="1"/>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Frontrahmen aus verzinktem Stahl</w:t>
      </w:r>
    </w:p>
    <w:p w:rsidR="008927D9" w:rsidRPr="008927D9" w:rsidRDefault="008927D9" w:rsidP="008927D9">
      <w:pPr>
        <w:numPr>
          <w:ilvl w:val="0"/>
          <w:numId w:val="1"/>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Lamellen aus verzinktem Stahl</w:t>
      </w:r>
    </w:p>
    <w:p w:rsidR="008927D9" w:rsidRPr="008927D9" w:rsidRDefault="008927D9" w:rsidP="008927D9">
      <w:pPr>
        <w:numPr>
          <w:ilvl w:val="0"/>
          <w:numId w:val="1"/>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Filter aus PES</w:t>
      </w:r>
    </w:p>
    <w:p w:rsidR="008927D9" w:rsidRPr="008927D9" w:rsidRDefault="008927D9" w:rsidP="008927D9">
      <w:pPr>
        <w:numPr>
          <w:ilvl w:val="0"/>
          <w:numId w:val="1"/>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Schaumstoffabdichtung</w:t>
      </w:r>
    </w:p>
    <w:p w:rsidR="008927D9" w:rsidRPr="008927D9" w:rsidRDefault="008927D9" w:rsidP="008927D9">
      <w:pPr>
        <w:numPr>
          <w:ilvl w:val="0"/>
          <w:numId w:val="1"/>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Ballschutz aus verzinktem Stahl</w:t>
      </w:r>
    </w:p>
    <w:p w:rsidR="008927D9" w:rsidRPr="008927D9" w:rsidRDefault="008927D9" w:rsidP="008927D9">
      <w:pPr>
        <w:numPr>
          <w:ilvl w:val="0"/>
          <w:numId w:val="1"/>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AS und SAS aus Aluminium</w:t>
      </w:r>
    </w:p>
    <w:p w:rsidR="008927D9" w:rsidRPr="008927D9" w:rsidRDefault="008927D9" w:rsidP="008927D9">
      <w:pPr>
        <w:numPr>
          <w:ilvl w:val="0"/>
          <w:numId w:val="1"/>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AG aus Aluminium und verzinktem Stahl</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t>Oberflächen</w:t>
      </w:r>
    </w:p>
    <w:p w:rsidR="008927D9" w:rsidRPr="008927D9" w:rsidRDefault="008927D9" w:rsidP="008927D9">
      <w:pPr>
        <w:numPr>
          <w:ilvl w:val="0"/>
          <w:numId w:val="2"/>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Frontrahmen und Lamellen ohne Beschichtung (Stahl verzinkt)</w:t>
      </w:r>
    </w:p>
    <w:p w:rsidR="008927D9" w:rsidRPr="008927D9" w:rsidRDefault="008927D9" w:rsidP="008927D9">
      <w:pPr>
        <w:numPr>
          <w:ilvl w:val="0"/>
          <w:numId w:val="2"/>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 xml:space="preserve">Frontrahmen und Lamellen pulverbeschichtet nach RAL 9010 </w:t>
      </w:r>
      <w:proofErr w:type="spellStart"/>
      <w:r w:rsidRPr="008927D9">
        <w:rPr>
          <w:rFonts w:ascii="Arial" w:eastAsia="Times New Roman" w:hAnsi="Arial" w:cs="Arial"/>
          <w:color w:val="6E7883"/>
          <w:sz w:val="21"/>
          <w:szCs w:val="21"/>
          <w:lang w:eastAsia="de-DE"/>
        </w:rPr>
        <w:t>reinweiss</w:t>
      </w:r>
      <w:proofErr w:type="spellEnd"/>
      <w:r w:rsidRPr="008927D9">
        <w:rPr>
          <w:rFonts w:ascii="Arial" w:eastAsia="Times New Roman" w:hAnsi="Arial" w:cs="Arial"/>
          <w:color w:val="6E7883"/>
          <w:sz w:val="21"/>
          <w:szCs w:val="21"/>
          <w:lang w:eastAsia="de-DE"/>
        </w:rPr>
        <w:t>, GE50</w:t>
      </w:r>
    </w:p>
    <w:p w:rsidR="008927D9" w:rsidRPr="008927D9" w:rsidRDefault="008927D9" w:rsidP="008927D9">
      <w:pPr>
        <w:numPr>
          <w:ilvl w:val="0"/>
          <w:numId w:val="2"/>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Frontrahmen und Lamellen pulverbeschichtet nach RAL CLASSIC Farbpalette GE70</w:t>
      </w:r>
    </w:p>
    <w:p w:rsidR="008927D9" w:rsidRPr="008927D9" w:rsidRDefault="008927D9" w:rsidP="008927D9">
      <w:pPr>
        <w:numPr>
          <w:ilvl w:val="0"/>
          <w:numId w:val="2"/>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Frontrahmen und Lamellen pulverbeschichtet nach NCS</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t>Nenngrößen</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Breite [mm]</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225, 325, 425, 525, 625, 825, 1025, 1225, 1425, 1625, 1825, 2025</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Höhe [mm]</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75, 125, 225, 325, 425, 525</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Gitter zum Einbau in runde Luftleitungen (Ausführungen R/RA)</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Breite [mm]</w:t>
      </w:r>
      <w:r w:rsidRPr="008927D9">
        <w:rPr>
          <w:rFonts w:ascii="Arial" w:eastAsia="Times New Roman" w:hAnsi="Arial" w:cs="Arial"/>
          <w:color w:val="6E7883"/>
          <w:sz w:val="21"/>
          <w:szCs w:val="21"/>
          <w:lang w:eastAsia="de-DE"/>
        </w:rPr>
        <w:br/>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225, 325, 425, 525, 625, 825 1025, 1225</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Höhe [mm]</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75, 125, 225, 325</w:t>
      </w:r>
      <w:r w:rsidRPr="008927D9">
        <w:rPr>
          <w:rFonts w:ascii="Arial" w:eastAsia="Times New Roman" w:hAnsi="Arial" w:cs="Arial"/>
          <w:color w:val="6E7883"/>
          <w:sz w:val="21"/>
          <w:szCs w:val="21"/>
          <w:lang w:eastAsia="de-DE"/>
        </w:rPr>
        <w:br/>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bookmarkStart w:id="0" w:name="_GoBack"/>
      <w:bookmarkEnd w:id="0"/>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lastRenderedPageBreak/>
        <w:t>Technische Daten</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Auslegungsspezifisch</w:t>
      </w:r>
      <w:r w:rsidRPr="008927D9">
        <w:rPr>
          <w:rFonts w:ascii="Arial" w:eastAsia="Times New Roman" w:hAnsi="Arial" w:cs="Arial"/>
          <w:color w:val="6E7883"/>
          <w:sz w:val="21"/>
          <w:szCs w:val="21"/>
          <w:lang w:eastAsia="de-DE"/>
        </w:rPr>
        <w:br/>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t>Normen und Richtlinien</w:t>
      </w:r>
    </w:p>
    <w:p w:rsidR="008927D9" w:rsidRPr="008927D9" w:rsidRDefault="008927D9" w:rsidP="008927D9">
      <w:pPr>
        <w:numPr>
          <w:ilvl w:val="0"/>
          <w:numId w:val="3"/>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Schallleistungspegel des Strömungsgeräusches gemessen nach EN ISO 5135</w:t>
      </w:r>
    </w:p>
    <w:p w:rsidR="008927D9" w:rsidRPr="008927D9" w:rsidRDefault="008927D9" w:rsidP="008927D9">
      <w:pPr>
        <w:numPr>
          <w:ilvl w:val="0"/>
          <w:numId w:val="3"/>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 xml:space="preserve">Filterklasse ISO </w:t>
      </w:r>
      <w:proofErr w:type="spellStart"/>
      <w:r w:rsidRPr="008927D9">
        <w:rPr>
          <w:rFonts w:ascii="Arial" w:eastAsia="Times New Roman" w:hAnsi="Arial" w:cs="Arial"/>
          <w:color w:val="6E7883"/>
          <w:sz w:val="21"/>
          <w:szCs w:val="21"/>
          <w:lang w:eastAsia="de-DE"/>
        </w:rPr>
        <w:t>Coarse</w:t>
      </w:r>
      <w:proofErr w:type="spellEnd"/>
      <w:r w:rsidRPr="008927D9">
        <w:rPr>
          <w:rFonts w:ascii="Arial" w:eastAsia="Times New Roman" w:hAnsi="Arial" w:cs="Arial"/>
          <w:color w:val="6E7883"/>
          <w:sz w:val="21"/>
          <w:szCs w:val="21"/>
          <w:lang w:eastAsia="de-DE"/>
        </w:rPr>
        <w:t xml:space="preserve"> 45% nach ISO (G3) 16890</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t>Varianten</w:t>
      </w:r>
    </w:p>
    <w:p w:rsidR="008927D9" w:rsidRPr="008927D9" w:rsidRDefault="008927D9" w:rsidP="008927D9">
      <w:pPr>
        <w:numPr>
          <w:ilvl w:val="0"/>
          <w:numId w:val="4"/>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Horizontale, vertikale oder vertikale und horizontale Lamellenanordnungen</w:t>
      </w:r>
    </w:p>
    <w:p w:rsidR="008927D9" w:rsidRPr="008927D9" w:rsidRDefault="008927D9" w:rsidP="008927D9">
      <w:pPr>
        <w:numPr>
          <w:ilvl w:val="0"/>
          <w:numId w:val="4"/>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Ballschutz speziell für den Einbau in Sporthallen</w:t>
      </w:r>
    </w:p>
    <w:p w:rsidR="008927D9" w:rsidRPr="008927D9" w:rsidRDefault="008927D9" w:rsidP="008927D9">
      <w:pPr>
        <w:numPr>
          <w:ilvl w:val="0"/>
          <w:numId w:val="4"/>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Bandausführung bestehend aus End- und Mittelstücken, die bauseitig zusammengebaut werden</w:t>
      </w:r>
    </w:p>
    <w:p w:rsidR="008927D9" w:rsidRPr="008927D9" w:rsidRDefault="008927D9" w:rsidP="008927D9">
      <w:pPr>
        <w:numPr>
          <w:ilvl w:val="0"/>
          <w:numId w:val="4"/>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Gitter für Wand, Brüstungs- und Kanaleinbau oder für Einbau in runden Luftleitungen</w:t>
      </w:r>
    </w:p>
    <w:p w:rsidR="008927D9" w:rsidRPr="008927D9" w:rsidRDefault="008927D9" w:rsidP="008927D9">
      <w:pPr>
        <w:numPr>
          <w:ilvl w:val="0"/>
          <w:numId w:val="4"/>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Verdeckte Schraubbefestigung mit und ohne Einbaurahmen</w:t>
      </w:r>
    </w:p>
    <w:p w:rsidR="008927D9" w:rsidRPr="008927D9" w:rsidRDefault="008927D9" w:rsidP="008927D9">
      <w:pPr>
        <w:numPr>
          <w:ilvl w:val="0"/>
          <w:numId w:val="4"/>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Warzenlochung im Frontrahmen</w:t>
      </w:r>
    </w:p>
    <w:p w:rsidR="008927D9" w:rsidRPr="008927D9" w:rsidRDefault="008927D9" w:rsidP="008927D9">
      <w:pPr>
        <w:numPr>
          <w:ilvl w:val="0"/>
          <w:numId w:val="4"/>
        </w:numPr>
        <w:shd w:val="clear" w:color="auto" w:fill="FFFFFF"/>
        <w:spacing w:after="0" w:line="240" w:lineRule="auto"/>
        <w:ind w:left="225"/>
        <w:rPr>
          <w:rFonts w:ascii="Arial" w:eastAsia="Times New Roman" w:hAnsi="Arial" w:cs="Arial"/>
          <w:color w:val="6E7883"/>
          <w:sz w:val="21"/>
          <w:szCs w:val="21"/>
          <w:lang w:eastAsia="de-DE"/>
        </w:rPr>
      </w:pPr>
      <w:proofErr w:type="spellStart"/>
      <w:r w:rsidRPr="008927D9">
        <w:rPr>
          <w:rFonts w:ascii="Arial" w:eastAsia="Times New Roman" w:hAnsi="Arial" w:cs="Arial"/>
          <w:color w:val="6E7883"/>
          <w:sz w:val="21"/>
          <w:szCs w:val="21"/>
          <w:lang w:eastAsia="de-DE"/>
        </w:rPr>
        <w:t>Ungelochter</w:t>
      </w:r>
      <w:proofErr w:type="spellEnd"/>
      <w:r w:rsidRPr="008927D9">
        <w:rPr>
          <w:rFonts w:ascii="Arial" w:eastAsia="Times New Roman" w:hAnsi="Arial" w:cs="Arial"/>
          <w:color w:val="6E7883"/>
          <w:sz w:val="21"/>
          <w:szCs w:val="21"/>
          <w:lang w:eastAsia="de-DE"/>
        </w:rPr>
        <w:t xml:space="preserve"> Frontrahmen ohne werkseitige Befestigungsoption</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t>Zubehör</w:t>
      </w:r>
    </w:p>
    <w:p w:rsidR="008927D9" w:rsidRPr="008927D9" w:rsidRDefault="008927D9" w:rsidP="008927D9">
      <w:pPr>
        <w:numPr>
          <w:ilvl w:val="0"/>
          <w:numId w:val="5"/>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Filterelement für Abluftgitter</w:t>
      </w:r>
    </w:p>
    <w:p w:rsidR="008927D9" w:rsidRPr="008927D9" w:rsidRDefault="008927D9" w:rsidP="008927D9">
      <w:pPr>
        <w:numPr>
          <w:ilvl w:val="0"/>
          <w:numId w:val="5"/>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Einbaurahmen</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t>Gleichwertigkeitskriterien</w:t>
      </w:r>
    </w:p>
    <w:p w:rsidR="008927D9" w:rsidRPr="008927D9" w:rsidRDefault="008927D9" w:rsidP="008927D9">
      <w:pPr>
        <w:numPr>
          <w:ilvl w:val="0"/>
          <w:numId w:val="6"/>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Grundmaterial: verzinktes Stahlblech</w:t>
      </w:r>
    </w:p>
    <w:p w:rsidR="008927D9" w:rsidRPr="008927D9" w:rsidRDefault="008927D9" w:rsidP="008927D9">
      <w:pPr>
        <w:numPr>
          <w:ilvl w:val="0"/>
          <w:numId w:val="6"/>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Einstellbare Strahlausbreitung</w:t>
      </w:r>
    </w:p>
    <w:p w:rsidR="008927D9" w:rsidRPr="008927D9" w:rsidRDefault="008927D9" w:rsidP="008927D9">
      <w:pPr>
        <w:numPr>
          <w:ilvl w:val="0"/>
          <w:numId w:val="6"/>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Gitter in verschiedenen Farben wählbar</w:t>
      </w:r>
    </w:p>
    <w:p w:rsidR="008927D9" w:rsidRPr="008927D9" w:rsidRDefault="008927D9" w:rsidP="008927D9">
      <w:pPr>
        <w:numPr>
          <w:ilvl w:val="0"/>
          <w:numId w:val="6"/>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Optional Strahllenkung durch werkseitig voreingestellte Lamellen</w:t>
      </w:r>
    </w:p>
    <w:p w:rsidR="008927D9" w:rsidRPr="008927D9" w:rsidRDefault="008927D9" w:rsidP="008927D9">
      <w:pPr>
        <w:numPr>
          <w:ilvl w:val="0"/>
          <w:numId w:val="6"/>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Optional verschiedene Anbausätze zum Drosseln und Abgleichen der Gitter</w:t>
      </w:r>
    </w:p>
    <w:p w:rsidR="008927D9" w:rsidRPr="008927D9" w:rsidRDefault="008927D9" w:rsidP="008927D9">
      <w:pPr>
        <w:numPr>
          <w:ilvl w:val="0"/>
          <w:numId w:val="6"/>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Verschiedene Befestigungsmöglichkeiten, für übliche Einbausituationen angepasst</w:t>
      </w:r>
    </w:p>
    <w:p w:rsidR="008927D9" w:rsidRPr="008927D9" w:rsidRDefault="008927D9" w:rsidP="008927D9">
      <w:pPr>
        <w:numPr>
          <w:ilvl w:val="0"/>
          <w:numId w:val="6"/>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Lufttechnische und akustische Daten durch Labormessungen verifiziert</w:t>
      </w:r>
    </w:p>
    <w:p w:rsidR="008927D9" w:rsidRPr="008927D9" w:rsidRDefault="008927D9" w:rsidP="008927D9">
      <w:pPr>
        <w:numPr>
          <w:ilvl w:val="0"/>
          <w:numId w:val="6"/>
        </w:numPr>
        <w:shd w:val="clear" w:color="auto" w:fill="FFFFFF"/>
        <w:spacing w:after="0" w:line="240" w:lineRule="auto"/>
        <w:ind w:left="225"/>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Staub und Kratzschutz durch Einzelverpackung bis 30 Stück</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t>Fabrikat der Ausschreibung</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TROX GmbH</w:t>
      </w: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p>
    <w:p w:rsidR="008927D9" w:rsidRPr="008927D9" w:rsidRDefault="008927D9" w:rsidP="008927D9">
      <w:pPr>
        <w:shd w:val="clear" w:color="auto" w:fill="FFFFFF"/>
        <w:spacing w:after="330" w:line="240" w:lineRule="auto"/>
        <w:rPr>
          <w:rFonts w:ascii="Arial" w:eastAsia="Times New Roman" w:hAnsi="Arial" w:cs="Arial"/>
          <w:color w:val="6E7883"/>
          <w:sz w:val="21"/>
          <w:szCs w:val="21"/>
          <w:lang w:eastAsia="de-DE"/>
        </w:rPr>
      </w:pPr>
      <w:r w:rsidRPr="008927D9">
        <w:rPr>
          <w:rFonts w:ascii="Helvetica" w:eastAsia="Times New Roman" w:hAnsi="Helvetica" w:cs="Helvetica"/>
          <w:b/>
          <w:bCs/>
          <w:color w:val="6E7883"/>
          <w:sz w:val="21"/>
          <w:szCs w:val="21"/>
          <w:lang w:eastAsia="de-DE"/>
        </w:rPr>
        <w:t>Serie</w:t>
      </w:r>
    </w:p>
    <w:p w:rsidR="008927D9" w:rsidRPr="008927D9" w:rsidRDefault="008927D9" w:rsidP="008927D9">
      <w:pPr>
        <w:shd w:val="clear" w:color="auto" w:fill="FFFFFF"/>
        <w:spacing w:after="0" w:line="240" w:lineRule="auto"/>
        <w:rPr>
          <w:rFonts w:ascii="Arial" w:eastAsia="Times New Roman" w:hAnsi="Arial" w:cs="Arial"/>
          <w:color w:val="6E7883"/>
          <w:sz w:val="21"/>
          <w:szCs w:val="21"/>
          <w:lang w:eastAsia="de-DE"/>
        </w:rPr>
      </w:pPr>
      <w:r w:rsidRPr="008927D9">
        <w:rPr>
          <w:rFonts w:ascii="Arial" w:eastAsia="Times New Roman" w:hAnsi="Arial" w:cs="Arial"/>
          <w:color w:val="6E7883"/>
          <w:sz w:val="21"/>
          <w:szCs w:val="21"/>
          <w:lang w:eastAsia="de-DE"/>
        </w:rPr>
        <w:t>TR2</w:t>
      </w:r>
    </w:p>
    <w:p w:rsidR="008927D9" w:rsidRDefault="008927D9"/>
    <w:sectPr w:rsidR="008927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E31"/>
    <w:multiLevelType w:val="multilevel"/>
    <w:tmpl w:val="3BE8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56549"/>
    <w:multiLevelType w:val="multilevel"/>
    <w:tmpl w:val="B68A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EA6ADB"/>
    <w:multiLevelType w:val="multilevel"/>
    <w:tmpl w:val="58E6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A46704"/>
    <w:multiLevelType w:val="multilevel"/>
    <w:tmpl w:val="9F48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D42854"/>
    <w:multiLevelType w:val="multilevel"/>
    <w:tmpl w:val="CF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AA16E4"/>
    <w:multiLevelType w:val="multilevel"/>
    <w:tmpl w:val="D8C8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D9"/>
    <w:rsid w:val="008927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500B8-582B-47EF-9EF0-6898533E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2112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Kotschmar (HTH)</dc:creator>
  <cp:keywords/>
  <dc:description/>
  <cp:lastModifiedBy>Thomas Kotschmar (HTH)</cp:lastModifiedBy>
  <cp:revision>1</cp:revision>
  <dcterms:created xsi:type="dcterms:W3CDTF">2025-05-26T08:50:00Z</dcterms:created>
  <dcterms:modified xsi:type="dcterms:W3CDTF">2025-05-26T08:53:00Z</dcterms:modified>
</cp:coreProperties>
</file>